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rPr>
          <w:rFonts w:hint="eastAsia" w:eastAsiaTheme="minorEastAsia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rFonts w:eastAsiaTheme="minorEastAsia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林业（森林培育、林业技术推广、森林生态效益补偿、林业执法与监督、林业防灾减灾、其他林业支出）项目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rFonts w:hint="default" w:eastAsia="仿宋_GB2312"/>
          <w:kern w:val="0"/>
          <w:sz w:val="36"/>
          <w:szCs w:val="36"/>
          <w:lang w:val="en-US" w:eastAsia="zh-CN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rFonts w:hint="default" w:eastAsia="仿宋_GB2312"/>
          <w:kern w:val="0"/>
          <w:sz w:val="36"/>
          <w:szCs w:val="36"/>
          <w:lang w:val="en-US" w:eastAsia="zh-CN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阿吉拜克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15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bookmarkStart w:id="0" w:name="_Toc258774801"/>
      <w:bookmarkStart w:id="1" w:name="_Toc17817"/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农林局于2000年8月由县农业局、林业局、水利局、农机局合并成立。林业工作机构设有林业公安派出所、森防站、国家重点公益林塔什库尔干县中心管护站、各乡（镇）场林业局。机构配有森林公安、森林站专职人员15人，护林人员35人，各乡（镇）场专职林业干事42人。</w:t>
      </w:r>
      <w:bookmarkEnd w:id="0"/>
      <w:bookmarkEnd w:id="1"/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（1）森林培育：森林抚育补贴资金100万元，森林抚育面积1万亩，2018年重点防护林工程100万元、用于人工造乔木林0.2万亩，中央财政造林补助项目资金63万元、森林质量精准提升3000亩。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（2）林业技术推广：林果业培训费0.5万元，用于下乡指导培训林果业知识技术。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（3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森林生态效益补偿102.1350万元，公益林管护人员工资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（4）林业执法与监督：中央森林公安补助经费1万元，用于森林公安办案补助。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（5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林业防灾减灾：1万元用于森林公安办案补助。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（6）其他林业支出15万元，用于森林植被恢复购买苗木资金。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全县12个乡镇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覆盖森林培育、林业技术推广、森林生态效益、林业执法与监督、林业防灾减灾、其他林业支出范围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（1）森林培育：森林抚育补贴资金100万元，森林抚育面积1万亩，2018年重点防护林工程100万元、用于人工造乔木林0.2万亩，中央财政造林补助项目资金63万元、森林质量精准提升3000亩。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（2）林业技术推广：林果业培训费0.5万元，用于下乡指导培训林果业知识技术。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（3）森林生态效益补偿102.1350万元，公益林管护人员工资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（4）林业执法与监督：中央森林公安补助经费1万元，用于森林公安办案补助。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（5）林业防灾减灾：1万元用于森林公安办案补助。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（6）其他林业支出15万元，用于森林植被恢复购买苗木资金。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本项目实际支付资金382.6350万元，预算执行率100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，项目资金主要用于支付农机购置补贴费用382.6350万元。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资金根据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（1）森林培育：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263万元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（2）林业技术推广：0.5万元。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（3）森林生态效益补偿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102.1350万元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（4）林业执法与监督：1万元。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（5）林业防灾减灾：1万元。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（6）其他林业支出15万元。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该项目通过直接发包方式实施，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382.6350万元，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资金拨付到位，按照项目进程进行拨付。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本项目不存在调整情况。为保证项目质量和成本控制，项目实施完成后，由本项目相关人员于2018年10月完成检查验收，检查验收合格后按合同规定支付款项。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58" w:firstLineChars="243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项目实施过程中，按照实施方案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进行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。项目的实施遵守相关法律法规和业务管理规定，项目资料齐全并及时归档。不定期对项目进度情况进行督导检查，对检查过程中发现的问题及时督促整改，确保了项目按时保质完成。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数量指标： 指标1：森林抚育补贴面积1万亩，重点防护林面积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ab/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0.2万亩，造林补助面积0.3万亩，林业技术推广次数1次，国家级公益林管护人员数量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ab/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18人。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质量指标：工程验收合格率达到100%。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时效指标：2018年4月开工，2018年9月竣工，2018年10月验收完成。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成本指标： 森林抚育补贴成本0.01万元／亩，重点防护林成本0.05万元／亩，造林补助成本0.021万元／亩，林业技术推广成本0.5万元／次，国家级公益林管护成本6.78万元／亩，森林植被恢复补助成本0.008万元／亩，林业执法与监督成本2万元／年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时效指标：2018年4月开工，20018年9月完工，2018年10月验收。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：森林抚育补贴带动增加贫困户年收入0.02万元／户。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：受益建档立卡贫困人口数量100人。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生态效益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：增加森林面积，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明显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改善生态环境。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748" w:firstLineChars="240"/>
        <w:outlineLvl w:val="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2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（三）项目取得的成效</w:t>
      </w:r>
    </w:p>
    <w:p>
      <w:pPr>
        <w:spacing w:line="520" w:lineRule="exact"/>
        <w:ind w:firstLine="748" w:firstLineChars="240"/>
        <w:outlineLvl w:val="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森林抚育补贴资金100万元，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成功</w:t>
      </w:r>
      <w:r>
        <w:rPr>
          <w:rFonts w:hint="eastAsia" w:ascii="仿宋" w:hAnsi="仿宋" w:eastAsia="仿宋"/>
          <w:spacing w:val="-4"/>
          <w:sz w:val="32"/>
          <w:szCs w:val="32"/>
        </w:rPr>
        <w:t>森林抚育面积1万亩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pacing w:val="-4"/>
          <w:sz w:val="32"/>
          <w:szCs w:val="32"/>
        </w:rPr>
        <w:t>人工造乔木林0.2万亩、森林质量精准提升3000亩。下乡指导培训林果业知识技术。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增加森林管护人员及</w:t>
      </w:r>
      <w:r>
        <w:rPr>
          <w:rFonts w:hint="eastAsia" w:ascii="仿宋" w:hAnsi="仿宋" w:eastAsia="仿宋"/>
          <w:spacing w:val="-4"/>
          <w:sz w:val="32"/>
          <w:szCs w:val="32"/>
        </w:rPr>
        <w:t>公益林管护人员工资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增加</w:t>
      </w:r>
      <w:r>
        <w:rPr>
          <w:rFonts w:hint="eastAsia" w:ascii="仿宋" w:hAnsi="仿宋" w:eastAsia="仿宋"/>
          <w:spacing w:val="-4"/>
          <w:sz w:val="32"/>
          <w:szCs w:val="32"/>
        </w:rPr>
        <w:t>森林公安办案补助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资金，并增加林业防灾救灾补助资金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购买</w:t>
      </w:r>
      <w:r>
        <w:rPr>
          <w:rFonts w:hint="eastAsia" w:ascii="仿宋" w:hAnsi="仿宋" w:eastAsia="仿宋"/>
          <w:spacing w:val="-4"/>
          <w:sz w:val="32"/>
          <w:szCs w:val="32"/>
        </w:rPr>
        <w:t>森林植被恢复购买苗木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pacing w:val="-4"/>
          <w:sz w:val="32"/>
          <w:szCs w:val="32"/>
        </w:rPr>
        <w:tab/>
      </w:r>
    </w:p>
    <w:p>
      <w:pPr>
        <w:spacing w:line="520" w:lineRule="exact"/>
        <w:ind w:firstLine="752" w:firstLineChars="240"/>
        <w:outlineLvl w:val="0"/>
        <w:rPr>
          <w:rStyle w:val="19"/>
          <w:rFonts w:ascii="黑体" w:hAnsi="黑体" w:eastAsia="黑体"/>
          <w:b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/>
          <w:bCs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长期保护与管理森林资源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设置护林员岗位，制定合理的工作安排，保护森林资源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建议项目资金安排应在每年2月份之前下达，使用过程中的行业部门加强指导。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</w:t>
      </w:r>
      <w:r>
        <w:rPr>
          <w:rFonts w:ascii="仿宋" w:hAnsi="仿宋" w:eastAsia="仿宋"/>
          <w:bCs/>
          <w:spacing w:val="-4"/>
          <w:sz w:val="32"/>
          <w:szCs w:val="32"/>
        </w:rPr>
        <w:t>单位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林业项目实施过程中</w:t>
      </w:r>
      <w:r>
        <w:rPr>
          <w:rFonts w:ascii="仿宋" w:hAnsi="仿宋" w:eastAsia="仿宋"/>
          <w:bCs/>
          <w:spacing w:val="-4"/>
          <w:sz w:val="32"/>
          <w:szCs w:val="32"/>
        </w:rPr>
        <w:t>在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2018</w:t>
      </w:r>
      <w:r>
        <w:rPr>
          <w:rFonts w:ascii="仿宋" w:hAnsi="仿宋" w:eastAsia="仿宋"/>
          <w:bCs/>
          <w:spacing w:val="-4"/>
          <w:sz w:val="32"/>
          <w:szCs w:val="32"/>
        </w:rPr>
        <w:t>年度已经全部实施完成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评价小组设定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spacing w:val="-4"/>
          <w:sz w:val="32"/>
          <w:szCs w:val="32"/>
        </w:rPr>
        <w:t>绩效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目标</w:t>
      </w:r>
      <w:bookmarkStart w:id="2" w:name="_GoBack"/>
      <w:bookmarkEnd w:id="2"/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全部完成</w:t>
      </w:r>
      <w:r>
        <w:rPr>
          <w:rFonts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7477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6D60"/>
    <w:rsid w:val="0002740E"/>
    <w:rsid w:val="000914FE"/>
    <w:rsid w:val="000F6DB7"/>
    <w:rsid w:val="0012208E"/>
    <w:rsid w:val="00135256"/>
    <w:rsid w:val="00177B88"/>
    <w:rsid w:val="001A4E1F"/>
    <w:rsid w:val="001A57B9"/>
    <w:rsid w:val="001C3847"/>
    <w:rsid w:val="001D1BC7"/>
    <w:rsid w:val="001D78D4"/>
    <w:rsid w:val="001F3031"/>
    <w:rsid w:val="001F769D"/>
    <w:rsid w:val="00210A26"/>
    <w:rsid w:val="00245C0A"/>
    <w:rsid w:val="00264D53"/>
    <w:rsid w:val="002946A1"/>
    <w:rsid w:val="002A2532"/>
    <w:rsid w:val="002A2D76"/>
    <w:rsid w:val="002A4F36"/>
    <w:rsid w:val="002E49C3"/>
    <w:rsid w:val="00331532"/>
    <w:rsid w:val="00365250"/>
    <w:rsid w:val="00365DE0"/>
    <w:rsid w:val="0036624C"/>
    <w:rsid w:val="0037529F"/>
    <w:rsid w:val="00385849"/>
    <w:rsid w:val="003914EF"/>
    <w:rsid w:val="003D077A"/>
    <w:rsid w:val="003D140C"/>
    <w:rsid w:val="003F1A98"/>
    <w:rsid w:val="003F31DB"/>
    <w:rsid w:val="00463F58"/>
    <w:rsid w:val="004C313E"/>
    <w:rsid w:val="0050167F"/>
    <w:rsid w:val="00506F18"/>
    <w:rsid w:val="00514506"/>
    <w:rsid w:val="005162F1"/>
    <w:rsid w:val="00516E80"/>
    <w:rsid w:val="00535153"/>
    <w:rsid w:val="00561351"/>
    <w:rsid w:val="00575CFE"/>
    <w:rsid w:val="00583AFC"/>
    <w:rsid w:val="0058783E"/>
    <w:rsid w:val="00592D09"/>
    <w:rsid w:val="005F2E6A"/>
    <w:rsid w:val="00627983"/>
    <w:rsid w:val="00675D58"/>
    <w:rsid w:val="00686BD2"/>
    <w:rsid w:val="006A32D0"/>
    <w:rsid w:val="006C1CB9"/>
    <w:rsid w:val="006F2E6D"/>
    <w:rsid w:val="00705F1E"/>
    <w:rsid w:val="007218B8"/>
    <w:rsid w:val="00733F70"/>
    <w:rsid w:val="00755C6A"/>
    <w:rsid w:val="0076784C"/>
    <w:rsid w:val="00780634"/>
    <w:rsid w:val="00785FDE"/>
    <w:rsid w:val="00791F2F"/>
    <w:rsid w:val="0079430A"/>
    <w:rsid w:val="007A0351"/>
    <w:rsid w:val="007A14BC"/>
    <w:rsid w:val="007C1025"/>
    <w:rsid w:val="007E6845"/>
    <w:rsid w:val="007F5F8A"/>
    <w:rsid w:val="008216A4"/>
    <w:rsid w:val="00826CA1"/>
    <w:rsid w:val="008329AE"/>
    <w:rsid w:val="00835B7F"/>
    <w:rsid w:val="00855E3A"/>
    <w:rsid w:val="0087085E"/>
    <w:rsid w:val="00880913"/>
    <w:rsid w:val="00882985"/>
    <w:rsid w:val="00884329"/>
    <w:rsid w:val="008F028A"/>
    <w:rsid w:val="008F383D"/>
    <w:rsid w:val="00922CB9"/>
    <w:rsid w:val="009350F7"/>
    <w:rsid w:val="00943AD3"/>
    <w:rsid w:val="009746A0"/>
    <w:rsid w:val="009B526F"/>
    <w:rsid w:val="009C1AFD"/>
    <w:rsid w:val="009D4BFB"/>
    <w:rsid w:val="00A2095E"/>
    <w:rsid w:val="00A26421"/>
    <w:rsid w:val="00A37C05"/>
    <w:rsid w:val="00A4293B"/>
    <w:rsid w:val="00A6158D"/>
    <w:rsid w:val="00A6641D"/>
    <w:rsid w:val="00A83BD5"/>
    <w:rsid w:val="00A977DF"/>
    <w:rsid w:val="00AA0199"/>
    <w:rsid w:val="00AD5A5C"/>
    <w:rsid w:val="00AE6A23"/>
    <w:rsid w:val="00B06CA5"/>
    <w:rsid w:val="00B13FCF"/>
    <w:rsid w:val="00B41F61"/>
    <w:rsid w:val="00B43709"/>
    <w:rsid w:val="00B55332"/>
    <w:rsid w:val="00B86E8C"/>
    <w:rsid w:val="00B87842"/>
    <w:rsid w:val="00BE1A00"/>
    <w:rsid w:val="00C22CF0"/>
    <w:rsid w:val="00C544CF"/>
    <w:rsid w:val="00C56C72"/>
    <w:rsid w:val="00C577C7"/>
    <w:rsid w:val="00C61DF6"/>
    <w:rsid w:val="00C869EF"/>
    <w:rsid w:val="00CA6457"/>
    <w:rsid w:val="00CC4442"/>
    <w:rsid w:val="00CC4B98"/>
    <w:rsid w:val="00CC6E4D"/>
    <w:rsid w:val="00D114CB"/>
    <w:rsid w:val="00D16FDD"/>
    <w:rsid w:val="00D17F2E"/>
    <w:rsid w:val="00D27B2F"/>
    <w:rsid w:val="00D46194"/>
    <w:rsid w:val="00D60AAA"/>
    <w:rsid w:val="00DA2623"/>
    <w:rsid w:val="00E01293"/>
    <w:rsid w:val="00E027D1"/>
    <w:rsid w:val="00E70C34"/>
    <w:rsid w:val="00E769FE"/>
    <w:rsid w:val="00EA2AEF"/>
    <w:rsid w:val="00EA2CBE"/>
    <w:rsid w:val="00EC326E"/>
    <w:rsid w:val="00EF3FFA"/>
    <w:rsid w:val="00F218C4"/>
    <w:rsid w:val="00F25628"/>
    <w:rsid w:val="00F32FEE"/>
    <w:rsid w:val="00F53E69"/>
    <w:rsid w:val="00FA1E8B"/>
    <w:rsid w:val="00FC47D3"/>
    <w:rsid w:val="1336109A"/>
    <w:rsid w:val="17746735"/>
    <w:rsid w:val="26233978"/>
    <w:rsid w:val="26351FD3"/>
    <w:rsid w:val="2D0F5599"/>
    <w:rsid w:val="35326496"/>
    <w:rsid w:val="3662498D"/>
    <w:rsid w:val="40482074"/>
    <w:rsid w:val="42C2744A"/>
    <w:rsid w:val="48862FE8"/>
    <w:rsid w:val="4C945E44"/>
    <w:rsid w:val="5208428E"/>
    <w:rsid w:val="5A474654"/>
    <w:rsid w:val="77D44A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EC823E-E96D-4D20-B9E4-6210721703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2019-01-18T14:24:00Z</dcterms:created>
  <dc:creator>赵 恺（预算处）</dc:creator>
  <cp:lastModifiedBy>lenovo</cp:lastModifiedBy>
  <cp:lastPrinted>2018-12-17T10:15:00Z</cp:lastPrinted>
  <dcterms:modified xsi:type="dcterms:W3CDTF">2019-09-19T13:27:22Z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