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hint="eastAsia" w:asciiTheme="minorEastAsia" w:hAnsiTheme="minorEastAsia" w:eastAsiaTheme="minorEastAsia" w:cstheme="minorEastAsia"/>
          <w:b/>
          <w:bCs/>
          <w:kern w:val="0"/>
          <w:sz w:val="24"/>
          <w:szCs w:val="24"/>
        </w:rPr>
      </w:pPr>
    </w:p>
    <w:p>
      <w:pPr>
        <w:pStyle w:val="49"/>
        <w:spacing w:line="540" w:lineRule="exact"/>
        <w:jc w:val="center"/>
        <w:rPr>
          <w:rFonts w:hint="eastAsia" w:asciiTheme="minorEastAsia" w:hAnsiTheme="minorEastAsia" w:eastAsiaTheme="minorEastAsia" w:cstheme="minorEastAsia"/>
          <w:b/>
          <w:bCs/>
          <w:kern w:val="0"/>
          <w:sz w:val="24"/>
          <w:szCs w:val="24"/>
          <w:lang w:val="zh-TW" w:eastAsia="zh-TW"/>
        </w:rPr>
      </w:pPr>
      <w:r>
        <w:rPr>
          <w:rFonts w:hint="eastAsia" w:asciiTheme="minorEastAsia" w:hAnsiTheme="minorEastAsia" w:eastAsiaTheme="minorEastAsia" w:cstheme="minorEastAsia"/>
          <w:b/>
          <w:bCs/>
          <w:kern w:val="0"/>
          <w:sz w:val="24"/>
          <w:szCs w:val="24"/>
          <w:lang w:val="zh-TW" w:eastAsia="zh-TW"/>
        </w:rPr>
        <w:t>新疆财政支出绩效自评报告</w:t>
      </w:r>
    </w:p>
    <w:p>
      <w:pPr>
        <w:pStyle w:val="49"/>
        <w:spacing w:line="540" w:lineRule="exact"/>
        <w:jc w:val="center"/>
        <w:rPr>
          <w:rFonts w:hint="eastAsia" w:asciiTheme="minorEastAsia" w:hAnsiTheme="minorEastAsia" w:eastAsiaTheme="minorEastAsia" w:cstheme="minorEastAsia"/>
          <w:b/>
          <w:bCs/>
          <w:kern w:val="0"/>
          <w:sz w:val="24"/>
          <w:szCs w:val="24"/>
        </w:rPr>
      </w:pPr>
    </w:p>
    <w:p>
      <w:pPr>
        <w:pStyle w:val="49"/>
        <w:spacing w:line="540" w:lineRule="exact"/>
        <w:jc w:val="center"/>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（201</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zh-TW" w:eastAsia="zh-TW"/>
        </w:rPr>
        <w:t>年度）</w:t>
      </w:r>
    </w:p>
    <w:p>
      <w:pPr>
        <w:pStyle w:val="49"/>
        <w:spacing w:line="540" w:lineRule="exact"/>
        <w:jc w:val="center"/>
        <w:rPr>
          <w:rFonts w:hint="eastAsia" w:asciiTheme="minorEastAsia" w:hAnsiTheme="minorEastAsia" w:eastAsiaTheme="minorEastAsia" w:cstheme="minorEastAsia"/>
          <w:kern w:val="0"/>
          <w:sz w:val="24"/>
          <w:szCs w:val="24"/>
        </w:rPr>
      </w:pPr>
    </w:p>
    <w:p>
      <w:pPr>
        <w:pStyle w:val="49"/>
        <w:spacing w:line="540" w:lineRule="exact"/>
        <w:jc w:val="center"/>
        <w:rPr>
          <w:rFonts w:hint="eastAsia" w:asciiTheme="minorEastAsia" w:hAnsiTheme="minorEastAsia" w:eastAsiaTheme="minorEastAsia" w:cstheme="minorEastAsia"/>
          <w:kern w:val="0"/>
          <w:sz w:val="24"/>
          <w:szCs w:val="24"/>
        </w:rPr>
      </w:pPr>
    </w:p>
    <w:p>
      <w:pPr>
        <w:pStyle w:val="49"/>
        <w:spacing w:line="540" w:lineRule="exact"/>
        <w:jc w:val="center"/>
        <w:rPr>
          <w:rFonts w:hint="eastAsia" w:asciiTheme="minorEastAsia" w:hAnsiTheme="minorEastAsia" w:eastAsiaTheme="minorEastAsia" w:cstheme="minorEastAsia"/>
          <w:kern w:val="0"/>
          <w:sz w:val="24"/>
          <w:szCs w:val="24"/>
        </w:rPr>
      </w:pPr>
    </w:p>
    <w:p>
      <w:pPr>
        <w:pStyle w:val="49"/>
        <w:spacing w:line="540" w:lineRule="exact"/>
        <w:jc w:val="center"/>
        <w:rPr>
          <w:rFonts w:hint="eastAsia" w:asciiTheme="minorEastAsia" w:hAnsiTheme="minorEastAsia" w:eastAsiaTheme="minorEastAsia" w:cstheme="minorEastAsia"/>
          <w:kern w:val="0"/>
          <w:sz w:val="24"/>
          <w:szCs w:val="24"/>
        </w:rPr>
      </w:pPr>
    </w:p>
    <w:p>
      <w:pPr>
        <w:pStyle w:val="49"/>
        <w:spacing w:line="540" w:lineRule="exact"/>
        <w:jc w:val="center"/>
        <w:rPr>
          <w:rFonts w:hint="eastAsia" w:asciiTheme="minorEastAsia" w:hAnsiTheme="minorEastAsia" w:eastAsiaTheme="minorEastAsia" w:cstheme="minorEastAsia"/>
          <w:kern w:val="0"/>
          <w:sz w:val="24"/>
          <w:szCs w:val="24"/>
        </w:rPr>
      </w:pPr>
    </w:p>
    <w:p>
      <w:pPr>
        <w:pStyle w:val="49"/>
        <w:spacing w:line="540" w:lineRule="exact"/>
        <w:rPr>
          <w:rFonts w:hint="eastAsia" w:asciiTheme="minorEastAsia" w:hAnsiTheme="minorEastAsia" w:eastAsiaTheme="minorEastAsia" w:cstheme="minorEastAsia"/>
          <w:kern w:val="0"/>
          <w:sz w:val="24"/>
          <w:szCs w:val="24"/>
        </w:rPr>
      </w:pPr>
    </w:p>
    <w:p>
      <w:pPr>
        <w:pStyle w:val="49"/>
        <w:spacing w:line="70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TW" w:eastAsia="zh-TW"/>
        </w:rPr>
        <w:t>项目名称：</w:t>
      </w:r>
      <w:r>
        <w:rPr>
          <w:rFonts w:hint="eastAsia" w:asciiTheme="minorEastAsia" w:hAnsiTheme="minorEastAsia" w:eastAsiaTheme="minorEastAsia" w:cstheme="minorEastAsia"/>
          <w:kern w:val="0"/>
          <w:sz w:val="24"/>
          <w:szCs w:val="24"/>
          <w:lang w:val="zh-TW"/>
        </w:rPr>
        <w:t>塔什库尔干县</w:t>
      </w:r>
      <w:r>
        <w:rPr>
          <w:rFonts w:hint="eastAsia" w:asciiTheme="minorEastAsia" w:hAnsiTheme="minorEastAsia" w:eastAsiaTheme="minorEastAsia" w:cstheme="minorEastAsia"/>
          <w:kern w:val="0"/>
          <w:sz w:val="24"/>
          <w:szCs w:val="24"/>
        </w:rPr>
        <w:t>2018年良种繁育中心（扩繁场）建设项目</w:t>
      </w:r>
    </w:p>
    <w:p>
      <w:pPr>
        <w:pStyle w:val="49"/>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实施单位（公章）：</w:t>
      </w:r>
      <w:r>
        <w:rPr>
          <w:rFonts w:hint="eastAsia" w:asciiTheme="minorEastAsia" w:hAnsiTheme="minorEastAsia" w:eastAsiaTheme="minorEastAsia" w:cstheme="minorEastAsia"/>
          <w:kern w:val="0"/>
          <w:sz w:val="24"/>
          <w:szCs w:val="24"/>
          <w:lang w:val="zh-TW"/>
        </w:rPr>
        <w:t>塔什库尔干县畜牧兽医局</w:t>
      </w:r>
    </w:p>
    <w:p>
      <w:pPr>
        <w:pStyle w:val="49"/>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主管部门（公章）：</w:t>
      </w:r>
      <w:r>
        <w:rPr>
          <w:rFonts w:hint="eastAsia" w:asciiTheme="minorEastAsia" w:hAnsiTheme="minorEastAsia" w:eastAsiaTheme="minorEastAsia" w:cstheme="minorEastAsia"/>
          <w:kern w:val="0"/>
          <w:sz w:val="24"/>
          <w:szCs w:val="24"/>
          <w:lang w:val="zh-TW"/>
        </w:rPr>
        <w:t>塔什库尔干县扶贫办</w:t>
      </w:r>
    </w:p>
    <w:p>
      <w:pPr>
        <w:pStyle w:val="49"/>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项目负责人（签章）：</w:t>
      </w:r>
      <w:r>
        <w:rPr>
          <w:rFonts w:hint="eastAsia" w:asciiTheme="minorEastAsia" w:hAnsiTheme="minorEastAsia" w:eastAsiaTheme="minorEastAsia" w:cstheme="minorEastAsia"/>
          <w:kern w:val="0"/>
          <w:sz w:val="24"/>
          <w:szCs w:val="24"/>
          <w:lang w:val="zh-TW"/>
        </w:rPr>
        <w:t>张剑</w:t>
      </w:r>
    </w:p>
    <w:p>
      <w:pPr>
        <w:pStyle w:val="49"/>
        <w:spacing w:line="700" w:lineRule="exact"/>
        <w:ind w:firstLine="480" w:firstLineChars="200"/>
        <w:jc w:val="left"/>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lang w:val="zh-TW" w:eastAsia="zh-TW"/>
        </w:rPr>
        <w:t>日</w:t>
      </w:r>
    </w:p>
    <w:p>
      <w:pPr>
        <w:pStyle w:val="49"/>
        <w:spacing w:line="700" w:lineRule="exact"/>
        <w:ind w:firstLine="480" w:firstLineChars="200"/>
        <w:jc w:val="left"/>
        <w:rPr>
          <w:rFonts w:hint="eastAsia" w:asciiTheme="minorEastAsia" w:hAnsiTheme="minorEastAsia" w:eastAsiaTheme="minorEastAsia" w:cstheme="minorEastAsia"/>
          <w:kern w:val="0"/>
          <w:sz w:val="24"/>
          <w:szCs w:val="24"/>
          <w:lang w:val="zh-TW" w:eastAsia="zh-TW"/>
        </w:rPr>
      </w:pPr>
    </w:p>
    <w:p>
      <w:pPr>
        <w:pStyle w:val="49"/>
        <w:spacing w:line="700" w:lineRule="exact"/>
        <w:ind w:firstLine="480" w:firstLineChars="200"/>
        <w:jc w:val="left"/>
        <w:rPr>
          <w:rFonts w:hint="eastAsia" w:asciiTheme="minorEastAsia" w:hAnsiTheme="minorEastAsia" w:eastAsiaTheme="minorEastAsia" w:cstheme="minorEastAsia"/>
          <w:kern w:val="0"/>
          <w:sz w:val="24"/>
          <w:szCs w:val="24"/>
          <w:lang w:val="zh-TW" w:eastAsia="zh-TW"/>
        </w:rPr>
      </w:pPr>
      <w:bookmarkStart w:id="0" w:name="_GoBack"/>
      <w:bookmarkEnd w:id="0"/>
    </w:p>
    <w:p>
      <w:pPr>
        <w:pStyle w:val="49"/>
        <w:spacing w:line="700" w:lineRule="exact"/>
        <w:ind w:firstLine="464" w:firstLineChars="200"/>
        <w:jc w:val="left"/>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一、项目概况</w:t>
      </w:r>
    </w:p>
    <w:p>
      <w:pPr>
        <w:adjustRightInd w:val="0"/>
        <w:snapToGrid w:val="0"/>
        <w:spacing w:line="560" w:lineRule="exact"/>
        <w:ind w:firstLine="466" w:firstLineChars="20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（一）项目单位基本情况</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良种繁育中心（扩繁场）建设是保证贫困户年人均增收500元的重要举措，同时优化畜群畜种结构，提高优良品种和母畜的存栏比例，实现规模化养殖和自我供给能力。</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为抓好良种繁育中心（扩繁场）建设项目，多次召开专门协调推进会，商讨良种繁育中心（扩繁场）建设的投资、建设、运行等相关事宜，多方面筹集建设资金，安排良种繁育中心建设所需资金2639万元，其中财政专项扶贫（生产发展）资金739万元，涉农资金整合1900万元。建设地点塔什库尔干县库孜滚村塔提库里移民搬迁点。良种繁育中心（扩繁场）羊的品种以塔什库尔干羊为主，培育、扩繁，并改良牲畜品种。基础设施建设总建筑面积13736.92平方米，其中羊圈单个面积2363.48平方米，共4个，办公室和宿舍1100平方，兽医站220平方，草料库1430平方米，共2个，消毒间和值班室63平方米，配电室40平方米。</w:t>
      </w:r>
    </w:p>
    <w:p>
      <w:pPr>
        <w:adjustRightInd w:val="0"/>
        <w:snapToGrid w:val="0"/>
        <w:spacing w:line="560" w:lineRule="exact"/>
        <w:ind w:firstLine="466" w:firstLineChars="20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（二）项目预算绩效目标设定情况</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1、数量指标</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新建良种繁育中心建筑面积66892.05平方米；购置良种畜7390只。基础设施建设已按实施方案完成建设内容；良种畜采购已签订合同，签订合同采购良种畜7270只，由于出现重复享受及3类人员，不予发放。</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2、质量指标</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基础设施建设已完成建设内容，良种畜采购6200只，均按进度执行。</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3、时效指标</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基础设施建设计划完成时间12月，目前已达到验收标准；良种畜采购均已签订合同。</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4、成本指标</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基础设施建设安排资金1900万元，实际合同价：1874.642612万元，有结余资金25.357388万元；良种畜采购安排资金739万元，合同价：717.1988万元，结余资金21.8012万元。</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本项目性质为新建。</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牲畜规模化养殖场所</w:t>
      </w:r>
    </w:p>
    <w:p>
      <w:pPr>
        <w:adjustRightInd w:val="0"/>
        <w:snapToGrid w:val="0"/>
        <w:spacing w:line="560" w:lineRule="exact"/>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560" w:lineRule="exact"/>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（一）项目资金安排落实、总投入等情况分析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2639万元，其中财政专项扶贫（生产发展）资金739万元，涉农资金整合1900万元</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基础设施建设安排资金1900万元，实际合同价：1874.642612万元，有结余资金25.357388万元；良种畜采购安排资金739万元，合同价：717.1988万元，结余资金21.8012万元。</w:t>
      </w:r>
    </w:p>
    <w:p>
      <w:pPr>
        <w:adjustRightInd w:val="0"/>
        <w:snapToGrid w:val="0"/>
        <w:spacing w:line="560" w:lineRule="exact"/>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（二）项目资金实际使用情况分析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实际支付资金2295.415971万元，预算执行率100%项目资金主要用于支付土建费用1705.15239万元万元、监理费用支付26.55万元，设计费用支付27.765万元，岩土工程勘察费用支付19.5万元，良种畜采购支付717.1988万元，水电配套设施支付73.5745589万元。</w:t>
      </w:r>
    </w:p>
    <w:p>
      <w:pPr>
        <w:adjustRightInd w:val="0"/>
        <w:snapToGrid w:val="0"/>
        <w:spacing w:line="560" w:lineRule="exact"/>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（三）项目资金管理情况分析</w:t>
      </w:r>
    </w:p>
    <w:p>
      <w:pPr>
        <w:adjustRightInd w:val="0"/>
        <w:snapToGrid w:val="0"/>
        <w:spacing w:line="560" w:lineRule="exac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560" w:lineRule="exact"/>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三、项目组织实施情况</w:t>
      </w:r>
    </w:p>
    <w:p>
      <w:pPr>
        <w:adjustRightInd w:val="0"/>
        <w:snapToGrid w:val="0"/>
        <w:spacing w:line="560" w:lineRule="exact"/>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（一）项目组织情况分析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项目建设严格落实投标办法，由专业招标代理机构进行招标代理，目前已完工验收。</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本项目不存在调整情况。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为保证项目质量和成本控制，项目实施完成后，由本项目相关人员对项目建设内容进行检查验收，检查验收合格后按合同规定支付款项。</w:t>
      </w:r>
    </w:p>
    <w:p>
      <w:pPr>
        <w:adjustRightInd w:val="0"/>
        <w:snapToGrid w:val="0"/>
        <w:spacing w:line="560" w:lineRule="exact"/>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（二）项目管理情况分析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实施过程中，严格落实扶贫资金使用管理办法，保障项目的顺利实施。项目的实施遵守相关法律法规和业务管理规定，项目资料齐全并及时归档。项目建设过程中采取定期与不定期对项目进度情况进行督导检查，对检查过程中对发现的问题及时督促整改，确保了项目按时保质完成。</w:t>
      </w:r>
    </w:p>
    <w:p>
      <w:pPr>
        <w:adjustRightInd w:val="0"/>
        <w:snapToGrid w:val="0"/>
        <w:spacing w:line="560" w:lineRule="exact"/>
        <w:ind w:firstLine="466" w:firstLineChars="200"/>
        <w:outlineLvl w:val="0"/>
        <w:rPr>
          <w:rStyle w:val="20"/>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本项目共设置一级指标3个，二级指标8个，三级指标12个，其中已完成三级指标12个，指标完成率为100%。</w:t>
      </w:r>
    </w:p>
    <w:p>
      <w:pPr>
        <w:spacing w:line="520" w:lineRule="exact"/>
        <w:ind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经济性：良种繁育中心（扩繁场）建设是保证贫困户年人均增收500元的重要举措，同时优化畜群畜种结构，提高优良品种和母畜的存栏比例，实现规模化养殖和自我供给能力。</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社会效益指标：良种繁育中心建设，对调整自治县畜禽养殖结构、增加牲畜存栏及带动贫困户及农牧民规模化养殖、标准化生产具有示范引领作用。</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560" w:lineRule="exact"/>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五、其他需要说明的问题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引导运营合作社做好良种繁育中心运用，实现早日受益。</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1、主要经验及做法</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numPr>
          <w:ilvl w:val="0"/>
          <w:numId w:val="1"/>
        </w:num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存在的问题</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pStyle w:val="50"/>
        <w:numPr>
          <w:ilvl w:val="0"/>
          <w:numId w:val="1"/>
        </w:numPr>
        <w:adjustRightInd w:val="0"/>
        <w:snapToGrid w:val="0"/>
        <w:spacing w:line="560" w:lineRule="exact"/>
        <w:ind w:firstLineChars="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建议</w:t>
      </w:r>
    </w:p>
    <w:p>
      <w:pPr>
        <w:pStyle w:val="50"/>
        <w:adjustRightInd w:val="0"/>
        <w:snapToGrid w:val="0"/>
        <w:spacing w:line="560" w:lineRule="exact"/>
        <w:ind w:left="420" w:firstLine="0" w:firstLineChars="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560" w:lineRule="exact"/>
        <w:ind w:firstLine="464"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spacing w:val="-4"/>
          <w:sz w:val="24"/>
          <w:szCs w:val="24"/>
        </w:rPr>
        <w:t>无其他说明内容</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Style w:val="20"/>
          <w:rFonts w:hint="eastAsia" w:asciiTheme="minorEastAsia" w:hAnsiTheme="minorEastAsia" w:eastAsiaTheme="minorEastAsia" w:cstheme="minorEastAsia"/>
          <w:b w:val="0"/>
          <w:spacing w:val="-4"/>
          <w:sz w:val="24"/>
          <w:szCs w:val="24"/>
        </w:rPr>
        <w:t>六、项目评价工作情况</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次评价通过文件研读、实地调研、数据分析等方式，全面了解塔什库尔干县2018年良种繁育中心（扩繁场）项目资金的使用效率和效果，项目管理过程规范，按期完成预期绩效目标等。同时，通过开展自我评价来总结经验和教训，为今后的开展提供参考建议。</w:t>
      </w:r>
    </w:p>
    <w:p>
      <w:pPr>
        <w:adjustRightInd w:val="0"/>
        <w:snapToGrid w:val="0"/>
        <w:spacing w:line="560" w:lineRule="exact"/>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七、附表</w:t>
      </w:r>
    </w:p>
    <w:p>
      <w:pPr>
        <w:adjustRightInd w:val="0"/>
        <w:snapToGrid w:val="0"/>
        <w:spacing w:line="560" w:lineRule="exact"/>
        <w:ind w:firstLine="464" w:firstLineChars="20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《项目支出绩效目标自评表》</w:t>
      </w:r>
    </w:p>
    <w:p>
      <w:pPr>
        <w:adjustRightInd w:val="0"/>
        <w:snapToGrid w:val="0"/>
        <w:spacing w:line="560" w:lineRule="exact"/>
        <w:ind w:firstLine="466" w:firstLineChars="200"/>
        <w:rPr>
          <w:rStyle w:val="20"/>
          <w:rFonts w:hint="eastAsia" w:asciiTheme="minorEastAsia" w:hAnsiTheme="minorEastAsia" w:eastAsiaTheme="minorEastAsia" w:cstheme="minorEastAsia"/>
          <w:color w:val="FF0000"/>
          <w:spacing w:val="-4"/>
          <w:sz w:val="24"/>
          <w:szCs w:val="24"/>
        </w:rPr>
      </w:pPr>
    </w:p>
    <w:p>
      <w:pPr>
        <w:adjustRightInd w:val="0"/>
        <w:snapToGrid w:val="0"/>
        <w:spacing w:line="560" w:lineRule="exact"/>
        <w:ind w:firstLine="464" w:firstLineChars="200"/>
        <w:jc w:val="right"/>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塔什库尔干县畜牧兽医局</w:t>
      </w:r>
    </w:p>
    <w:p>
      <w:pPr>
        <w:adjustRightInd w:val="0"/>
        <w:snapToGrid w:val="0"/>
        <w:spacing w:line="560" w:lineRule="exact"/>
        <w:ind w:firstLine="464" w:firstLineChars="200"/>
        <w:jc w:val="right"/>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 xml:space="preserve">                        2018年12月15日</w:t>
      </w:r>
    </w:p>
    <w:p>
      <w:pPr>
        <w:adjustRightInd w:val="0"/>
        <w:snapToGrid w:val="0"/>
        <w:spacing w:line="560" w:lineRule="exact"/>
        <w:ind w:firstLine="464" w:firstLineChars="200"/>
        <w:jc w:val="right"/>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right"/>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right"/>
        <w:rPr>
          <w:rFonts w:hint="eastAsia" w:asciiTheme="minorEastAsia" w:hAnsiTheme="minorEastAsia" w:eastAsiaTheme="minorEastAsia" w:cstheme="minorEastAsia"/>
          <w:bCs/>
          <w:spacing w:val="-4"/>
          <w:sz w:val="24"/>
          <w:szCs w:val="24"/>
        </w:rPr>
      </w:pPr>
    </w:p>
    <w:p>
      <w:pPr>
        <w:adjustRightInd w:val="0"/>
        <w:snapToGrid w:val="0"/>
        <w:spacing w:line="560" w:lineRule="exact"/>
        <w:jc w:val="both"/>
        <w:rPr>
          <w:rFonts w:ascii="仿宋" w:hAnsi="仿宋" w:eastAsia="仿宋"/>
          <w:bCs/>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
    <w:altName w:val="宋体"/>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E41FA"/>
    <w:multiLevelType w:val="singleLevel"/>
    <w:tmpl w:val="A3DE41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81E8E"/>
    <w:rsid w:val="0012208E"/>
    <w:rsid w:val="00135256"/>
    <w:rsid w:val="001A4E1F"/>
    <w:rsid w:val="001A57B9"/>
    <w:rsid w:val="001C3847"/>
    <w:rsid w:val="001E090B"/>
    <w:rsid w:val="001F3031"/>
    <w:rsid w:val="00210A26"/>
    <w:rsid w:val="00243C00"/>
    <w:rsid w:val="00252075"/>
    <w:rsid w:val="002A2532"/>
    <w:rsid w:val="002A2D76"/>
    <w:rsid w:val="00365250"/>
    <w:rsid w:val="0036624C"/>
    <w:rsid w:val="00385849"/>
    <w:rsid w:val="003F1A98"/>
    <w:rsid w:val="0050167F"/>
    <w:rsid w:val="00514506"/>
    <w:rsid w:val="005162F1"/>
    <w:rsid w:val="00516E80"/>
    <w:rsid w:val="00535153"/>
    <w:rsid w:val="00575C84"/>
    <w:rsid w:val="00575CFE"/>
    <w:rsid w:val="00583AFC"/>
    <w:rsid w:val="00592D09"/>
    <w:rsid w:val="00675D58"/>
    <w:rsid w:val="006F2E6D"/>
    <w:rsid w:val="007218B8"/>
    <w:rsid w:val="00755C6A"/>
    <w:rsid w:val="00785FDE"/>
    <w:rsid w:val="0079320E"/>
    <w:rsid w:val="00796496"/>
    <w:rsid w:val="007A0351"/>
    <w:rsid w:val="007A14BC"/>
    <w:rsid w:val="007C1025"/>
    <w:rsid w:val="007E6845"/>
    <w:rsid w:val="007F5F8A"/>
    <w:rsid w:val="00826CA1"/>
    <w:rsid w:val="00835B7F"/>
    <w:rsid w:val="00851297"/>
    <w:rsid w:val="00855E3A"/>
    <w:rsid w:val="00882985"/>
    <w:rsid w:val="00922CB9"/>
    <w:rsid w:val="009350F7"/>
    <w:rsid w:val="009B526F"/>
    <w:rsid w:val="009C1AFD"/>
    <w:rsid w:val="009D4BFB"/>
    <w:rsid w:val="00A00EF5"/>
    <w:rsid w:val="00A26421"/>
    <w:rsid w:val="00A4293B"/>
    <w:rsid w:val="00A83BD5"/>
    <w:rsid w:val="00A977DF"/>
    <w:rsid w:val="00AE6A23"/>
    <w:rsid w:val="00AF32D7"/>
    <w:rsid w:val="00B06CA5"/>
    <w:rsid w:val="00B13FCF"/>
    <w:rsid w:val="00B41F61"/>
    <w:rsid w:val="00B512B9"/>
    <w:rsid w:val="00B55332"/>
    <w:rsid w:val="00B86E8C"/>
    <w:rsid w:val="00BA2C5C"/>
    <w:rsid w:val="00BE1A00"/>
    <w:rsid w:val="00BE7BB9"/>
    <w:rsid w:val="00C22CF0"/>
    <w:rsid w:val="00C56C72"/>
    <w:rsid w:val="00CA1636"/>
    <w:rsid w:val="00CA6457"/>
    <w:rsid w:val="00CC4442"/>
    <w:rsid w:val="00CC6E4D"/>
    <w:rsid w:val="00D17F2E"/>
    <w:rsid w:val="00D2388F"/>
    <w:rsid w:val="00D46194"/>
    <w:rsid w:val="00E01293"/>
    <w:rsid w:val="00E027D1"/>
    <w:rsid w:val="00E769FE"/>
    <w:rsid w:val="00EA2CBE"/>
    <w:rsid w:val="00EF3FFA"/>
    <w:rsid w:val="00F32FEE"/>
    <w:rsid w:val="00F53E69"/>
    <w:rsid w:val="04FA4A89"/>
    <w:rsid w:val="09EA2A89"/>
    <w:rsid w:val="397F4FE8"/>
    <w:rsid w:val="46A47516"/>
    <w:rsid w:val="527A4675"/>
    <w:rsid w:val="5C0C3685"/>
    <w:rsid w:val="6C69205B"/>
    <w:rsid w:val="737D6AA1"/>
    <w:rsid w:val="7A136F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Date"/>
    <w:basedOn w:val="1"/>
    <w:next w:val="1"/>
    <w:link w:val="51"/>
    <w:unhideWhenUsed/>
    <w:uiPriority w:val="99"/>
    <w:pPr>
      <w:ind w:left="100" w:leftChars="2500"/>
    </w:p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paragraph" w:customStyle="1" w:styleId="50">
    <w:name w:val="List Paragraph"/>
    <w:basedOn w:val="1"/>
    <w:unhideWhenUsed/>
    <w:uiPriority w:val="99"/>
    <w:pPr>
      <w:ind w:firstLine="420" w:firstLineChars="200"/>
    </w:pPr>
  </w:style>
  <w:style w:type="character" w:customStyle="1" w:styleId="51">
    <w:name w:val="日期 Char"/>
    <w:basedOn w:val="19"/>
    <w:link w:val="12"/>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Pages>9</Pages>
  <Words>477</Words>
  <Characters>2724</Characters>
  <Lines>22</Lines>
  <Paragraphs>6</Paragraphs>
  <TotalTime>0</TotalTime>
  <ScaleCrop>false</ScaleCrop>
  <LinksUpToDate>false</LinksUpToDate>
  <CharactersWithSpaces>3195</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2019-09-19T16:48:37Z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