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360" w:lineRule="auto"/>
        <w:jc w:val="center"/>
        <w:rPr>
          <w:rFonts w:ascii="华文中宋" w:hAnsi="华文中宋" w:eastAsia="华文中宋" w:cs="华文中宋"/>
          <w:b/>
          <w:bCs/>
          <w:kern w:val="0"/>
          <w:sz w:val="52"/>
          <w:szCs w:val="52"/>
        </w:rPr>
      </w:pPr>
    </w:p>
    <w:p>
      <w:pPr>
        <w:pStyle w:val="49"/>
        <w:spacing w:line="360" w:lineRule="auto"/>
        <w:jc w:val="both"/>
        <w:rPr>
          <w:rFonts w:ascii="华文中宋" w:hAnsi="华文中宋" w:eastAsia="华文中宋" w:cs="华文中宋"/>
          <w:b/>
          <w:bCs/>
          <w:kern w:val="0"/>
          <w:sz w:val="52"/>
          <w:szCs w:val="52"/>
        </w:rPr>
      </w:pPr>
    </w:p>
    <w:p>
      <w:pPr>
        <w:pStyle w:val="49"/>
        <w:spacing w:line="360" w:lineRule="auto"/>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9"/>
        <w:spacing w:line="360" w:lineRule="auto"/>
        <w:jc w:val="center"/>
        <w:rPr>
          <w:rFonts w:hint="eastAsia" w:asciiTheme="minorEastAsia" w:hAnsiTheme="minorEastAsia" w:eastAsiaTheme="minorEastAsia" w:cstheme="minorEastAsia"/>
          <w:b/>
          <w:bCs/>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p>
    <w:p>
      <w:pPr>
        <w:pStyle w:val="49"/>
        <w:spacing w:line="360" w:lineRule="auto"/>
        <w:jc w:val="center"/>
        <w:rPr>
          <w:rFonts w:hint="eastAsia" w:asciiTheme="minorEastAsia" w:hAnsiTheme="minorEastAsia" w:eastAsiaTheme="minorEastAsia" w:cstheme="minorEastAsia"/>
          <w:kern w:val="0"/>
          <w:sz w:val="24"/>
          <w:szCs w:val="24"/>
        </w:rPr>
      </w:pPr>
      <w:bookmarkStart w:id="0" w:name="_GoBack"/>
      <w:bookmarkEnd w:id="0"/>
    </w:p>
    <w:p>
      <w:pPr>
        <w:pStyle w:val="49"/>
        <w:spacing w:line="360" w:lineRule="auto"/>
        <w:rPr>
          <w:rFonts w:hint="eastAsia" w:asciiTheme="minorEastAsia" w:hAnsiTheme="minorEastAsia" w:eastAsiaTheme="minorEastAsia" w:cstheme="minorEastAsia"/>
          <w:kern w:val="0"/>
          <w:sz w:val="24"/>
          <w:szCs w:val="24"/>
        </w:rPr>
      </w:pPr>
    </w:p>
    <w:p>
      <w:pPr>
        <w:pStyle w:val="49"/>
        <w:spacing w:line="360" w:lineRule="auto"/>
        <w:ind w:left="958" w:leftChars="342" w:hanging="240" w:hangingChars="1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项目名称：</w:t>
      </w:r>
      <w:r>
        <w:rPr>
          <w:rFonts w:hint="eastAsia" w:asciiTheme="minorEastAsia" w:hAnsiTheme="minorEastAsia" w:eastAsiaTheme="minorEastAsia" w:cstheme="minorEastAsia"/>
          <w:kern w:val="0"/>
          <w:sz w:val="24"/>
          <w:szCs w:val="24"/>
          <w:lang w:val="zh-TW"/>
        </w:rPr>
        <w:t>塔什库尔干县2018年农林水项目自评报告</w:t>
      </w:r>
    </w:p>
    <w:p>
      <w:pPr>
        <w:pStyle w:val="49"/>
        <w:spacing w:line="360" w:lineRule="auto"/>
        <w:ind w:left="958" w:leftChars="342" w:hanging="240" w:hangingChars="1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360" w:lineRule="auto"/>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塔什库尔干县财政局</w:t>
      </w:r>
    </w:p>
    <w:p>
      <w:pPr>
        <w:pStyle w:val="49"/>
        <w:spacing w:line="360" w:lineRule="auto"/>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360" w:lineRule="auto"/>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360" w:lineRule="auto"/>
        <w:ind w:firstLine="464" w:firstLineChars="200"/>
        <w:jc w:val="left"/>
        <w:rPr>
          <w:rStyle w:val="20"/>
          <w:rFonts w:hint="eastAsia" w:asciiTheme="minorEastAsia" w:hAnsiTheme="minorEastAsia" w:eastAsiaTheme="minorEastAsia" w:cstheme="minorEastAsia"/>
          <w:b w:val="0"/>
          <w:spacing w:val="-4"/>
          <w:sz w:val="24"/>
          <w:szCs w:val="24"/>
        </w:rPr>
      </w:pPr>
    </w:p>
    <w:p>
      <w:pPr>
        <w:pStyle w:val="49"/>
        <w:spacing w:line="360" w:lineRule="auto"/>
        <w:ind w:firstLine="464" w:firstLineChars="200"/>
        <w:jc w:val="left"/>
        <w:rPr>
          <w:rStyle w:val="20"/>
          <w:rFonts w:hint="eastAsia" w:asciiTheme="minorEastAsia" w:hAnsiTheme="minorEastAsia" w:eastAsiaTheme="minorEastAsia" w:cstheme="minorEastAsia"/>
          <w:b w:val="0"/>
          <w:spacing w:val="-4"/>
          <w:sz w:val="24"/>
          <w:szCs w:val="24"/>
        </w:rPr>
      </w:pPr>
    </w:p>
    <w:p>
      <w:pPr>
        <w:pStyle w:val="49"/>
        <w:spacing w:line="360" w:lineRule="auto"/>
        <w:ind w:firstLine="464" w:firstLineChars="200"/>
        <w:jc w:val="left"/>
        <w:rPr>
          <w:rStyle w:val="20"/>
          <w:rFonts w:hint="eastAsia" w:asciiTheme="minorEastAsia" w:hAnsiTheme="minorEastAsia" w:eastAsiaTheme="minorEastAsia" w:cstheme="minorEastAsia"/>
          <w:b w:val="0"/>
          <w:spacing w:val="-4"/>
          <w:sz w:val="24"/>
          <w:szCs w:val="24"/>
        </w:rPr>
      </w:pPr>
    </w:p>
    <w:p>
      <w:pPr>
        <w:pStyle w:val="49"/>
        <w:spacing w:line="360" w:lineRule="auto"/>
        <w:ind w:firstLine="464" w:firstLineChars="200"/>
        <w:jc w:val="left"/>
        <w:rPr>
          <w:rStyle w:val="20"/>
          <w:rFonts w:hint="eastAsia" w:asciiTheme="minorEastAsia" w:hAnsiTheme="minorEastAsia" w:eastAsiaTheme="minorEastAsia" w:cstheme="minorEastAsia"/>
          <w:b w:val="0"/>
          <w:spacing w:val="-4"/>
          <w:sz w:val="24"/>
          <w:szCs w:val="24"/>
        </w:rPr>
      </w:pPr>
    </w:p>
    <w:p>
      <w:pPr>
        <w:pStyle w:val="49"/>
        <w:spacing w:line="360" w:lineRule="auto"/>
        <w:ind w:firstLine="464" w:firstLineChars="200"/>
        <w:jc w:val="left"/>
        <w:rPr>
          <w:rStyle w:val="20"/>
          <w:rFonts w:hint="eastAsia" w:asciiTheme="minorEastAsia" w:hAnsiTheme="minorEastAsia" w:eastAsiaTheme="minorEastAsia" w:cstheme="minorEastAsia"/>
          <w:b w:val="0"/>
          <w:spacing w:val="-4"/>
          <w:sz w:val="24"/>
          <w:szCs w:val="24"/>
        </w:rPr>
      </w:pPr>
    </w:p>
    <w:p>
      <w:pPr>
        <w:pStyle w:val="49"/>
        <w:spacing w:line="360" w:lineRule="auto"/>
        <w:jc w:val="left"/>
        <w:rPr>
          <w:rStyle w:val="20"/>
          <w:rFonts w:hint="eastAsia" w:asciiTheme="minorEastAsia" w:hAnsiTheme="minorEastAsia" w:eastAsiaTheme="minorEastAsia" w:cstheme="minorEastAsia"/>
          <w:b w:val="0"/>
          <w:spacing w:val="-4"/>
          <w:sz w:val="24"/>
          <w:szCs w:val="24"/>
        </w:rPr>
      </w:pPr>
    </w:p>
    <w:p>
      <w:pPr>
        <w:pStyle w:val="49"/>
        <w:spacing w:line="360" w:lineRule="auto"/>
        <w:jc w:val="left"/>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一、项目概况</w:t>
      </w:r>
    </w:p>
    <w:p>
      <w:pPr>
        <w:adjustRightInd w:val="0"/>
        <w:snapToGrid w:val="0"/>
        <w:spacing w:line="360" w:lineRule="auto"/>
        <w:ind w:firstLine="466" w:firstLineChars="20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（一）项目单位基本情况</w:t>
      </w:r>
    </w:p>
    <w:p>
      <w:pPr>
        <w:spacing w:line="360" w:lineRule="auto"/>
        <w:ind w:firstLine="480" w:firstLineChars="200"/>
        <w:rPr>
          <w:rStyle w:val="20"/>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360" w:lineRule="auto"/>
        <w:ind w:firstLine="466" w:firstLineChars="20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（二）项目预算绩效目标设定情况</w:t>
      </w:r>
    </w:p>
    <w:p>
      <w:pPr>
        <w:adjustRightInd w:val="0"/>
        <w:snapToGrid w:val="0"/>
        <w:spacing w:line="360" w:lineRule="auto"/>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加强农业生产资源保护与利用，结合自治县草地资源，做好保护与利用，做好科技转化运用，做好牲畜疫病防治和草原虫害、鼠害治理。</w:t>
      </w:r>
    </w:p>
    <w:p>
      <w:pPr>
        <w:adjustRightInd w:val="0"/>
        <w:snapToGrid w:val="0"/>
        <w:spacing w:line="360" w:lineRule="auto"/>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360" w:lineRule="auto"/>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360" w:lineRule="auto"/>
        <w:ind w:firstLine="464" w:firstLineChars="200"/>
        <w:outlineLvl w:val="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草原生态保护建设、草原鼠害、虫害防治，草原防火隔离带建设，</w:t>
      </w:r>
    </w:p>
    <w:p>
      <w:pPr>
        <w:adjustRightInd w:val="0"/>
        <w:snapToGrid w:val="0"/>
        <w:spacing w:line="360" w:lineRule="auto"/>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360" w:lineRule="auto"/>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项目建设预算资金1159.349099万元，全部为中央预算内投资，其中科技转化与推广服务资金105万元，牲畜疫病防控资金425.93152万元，防灾救灾资金5万元，农业资源保护修复与利用132.14万元。</w:t>
      </w:r>
    </w:p>
    <w:p>
      <w:pPr>
        <w:adjustRightInd w:val="0"/>
        <w:snapToGrid w:val="0"/>
        <w:spacing w:line="360" w:lineRule="auto"/>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（二）项目资金实际使用情况分析</w:t>
      </w:r>
    </w:p>
    <w:p>
      <w:pPr>
        <w:adjustRightInd w:val="0"/>
        <w:snapToGrid w:val="0"/>
        <w:spacing w:line="360" w:lineRule="auto"/>
        <w:ind w:firstLine="464" w:firstLineChars="200"/>
        <w:rPr>
          <w:rStyle w:val="20"/>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bCs/>
          <w:spacing w:val="-4"/>
          <w:sz w:val="24"/>
          <w:szCs w:val="24"/>
        </w:rPr>
        <w:t>项目建设预算资金1159.349099万元，预算执行率100%项目资金主要用于</w:t>
      </w:r>
      <w:r>
        <w:rPr>
          <w:rFonts w:hint="eastAsia" w:asciiTheme="minorEastAsia" w:hAnsiTheme="minorEastAsia" w:eastAsiaTheme="minorEastAsia" w:cstheme="minorEastAsia"/>
          <w:sz w:val="24"/>
          <w:szCs w:val="24"/>
        </w:rPr>
        <w:t>科技转化与推广服务105万元，病虫害控制425.93152万元，防灾救灾5万元，农业资源保护修复与利用132.14万元，其他农业支出2470.97579万元，其他林支出63.18万元，农业综合开发产业化发展136万元。</w:t>
      </w:r>
      <w:r>
        <w:rPr>
          <w:rStyle w:val="20"/>
          <w:rFonts w:hint="eastAsia" w:asciiTheme="minorEastAsia" w:hAnsiTheme="minorEastAsia" w:eastAsiaTheme="minorEastAsia" w:cstheme="minorEastAsia"/>
          <w:spacing w:val="-4"/>
          <w:sz w:val="24"/>
          <w:szCs w:val="24"/>
        </w:rPr>
        <w:t>（</w:t>
      </w:r>
    </w:p>
    <w:p>
      <w:pPr>
        <w:adjustRightInd w:val="0"/>
        <w:snapToGrid w:val="0"/>
        <w:spacing w:line="360" w:lineRule="auto"/>
        <w:ind w:firstLine="466" w:firstLineChars="20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三）项目资金管理情况分析</w:t>
      </w:r>
    </w:p>
    <w:p>
      <w:pPr>
        <w:adjustRightInd w:val="0"/>
        <w:snapToGrid w:val="0"/>
        <w:spacing w:line="360" w:lineRule="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360" w:lineRule="auto"/>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三、项目组织实施情况</w:t>
      </w:r>
    </w:p>
    <w:p>
      <w:pPr>
        <w:adjustRightInd w:val="0"/>
        <w:snapToGrid w:val="0"/>
        <w:spacing w:line="360" w:lineRule="auto"/>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（一）项目组织情况分析</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项目建设严格落实资金使用用途，专款专用。</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360" w:lineRule="auto"/>
        <w:ind w:firstLine="466" w:firstLineChars="200"/>
        <w:outlineLvl w:val="0"/>
        <w:rPr>
          <w:rStyle w:val="20"/>
          <w:rFonts w:hint="eastAsia" w:asciiTheme="minorEastAsia" w:hAnsiTheme="minorEastAsia" w:eastAsiaTheme="minorEastAsia" w:cstheme="minorEastAsia"/>
          <w:spacing w:val="-4"/>
          <w:sz w:val="24"/>
          <w:szCs w:val="24"/>
        </w:rPr>
      </w:pPr>
      <w:r>
        <w:rPr>
          <w:rStyle w:val="20"/>
          <w:rFonts w:hint="eastAsia" w:asciiTheme="minorEastAsia" w:hAnsiTheme="minorEastAsia" w:eastAsiaTheme="minorEastAsia" w:cstheme="minorEastAsia"/>
          <w:spacing w:val="-4"/>
          <w:sz w:val="24"/>
          <w:szCs w:val="24"/>
        </w:rPr>
        <w:t>（二）项目管理情况分析</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360" w:lineRule="auto"/>
        <w:ind w:firstLine="466" w:firstLineChars="200"/>
        <w:outlineLvl w:val="0"/>
        <w:rPr>
          <w:rStyle w:val="20"/>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本项目共设置一级指标3个，二级指标9个，三级指标13个，其中已完成三级指标13个，指标完成率为100%。</w:t>
      </w:r>
    </w:p>
    <w:p>
      <w:pPr>
        <w:adjustRightInd w:val="0"/>
        <w:snapToGrid w:val="0"/>
        <w:spacing w:line="360" w:lineRule="auto"/>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360" w:lineRule="auto"/>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五、其他需要说明的问题</w:t>
      </w:r>
    </w:p>
    <w:p>
      <w:pPr>
        <w:adjustRightInd w:val="0"/>
        <w:snapToGrid w:val="0"/>
        <w:spacing w:line="360" w:lineRule="auto"/>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提高农业生态资源利用效益，防治草原虫害、鼠害治理，提高牲畜疫病防控效益。</w:t>
      </w:r>
    </w:p>
    <w:p>
      <w:pPr>
        <w:adjustRightInd w:val="0"/>
        <w:snapToGrid w:val="0"/>
        <w:spacing w:line="360" w:lineRule="auto"/>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3、建议</w:t>
      </w:r>
    </w:p>
    <w:p>
      <w:pPr>
        <w:adjustRightInd w:val="0"/>
        <w:snapToGrid w:val="0"/>
        <w:spacing w:line="360" w:lineRule="auto"/>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360" w:lineRule="auto"/>
        <w:ind w:firstLine="464" w:firstLineChars="200"/>
        <w:outlineLvl w:val="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无其他说明情况</w:t>
      </w:r>
    </w:p>
    <w:p>
      <w:pPr>
        <w:adjustRightInd w:val="0"/>
        <w:snapToGrid w:val="0"/>
        <w:spacing w:line="360" w:lineRule="auto"/>
        <w:ind w:firstLine="464" w:firstLineChars="200"/>
        <w:outlineLvl w:val="0"/>
        <w:rPr>
          <w:rFonts w:hint="eastAsia" w:asciiTheme="minorEastAsia" w:hAnsiTheme="minorEastAsia" w:eastAsiaTheme="minorEastAsia" w:cstheme="minorEastAsia"/>
          <w:bCs/>
          <w:spacing w:val="-4"/>
          <w:sz w:val="24"/>
          <w:szCs w:val="24"/>
        </w:rPr>
      </w:pPr>
      <w:r>
        <w:rPr>
          <w:rStyle w:val="20"/>
          <w:rFonts w:hint="eastAsia" w:asciiTheme="minorEastAsia" w:hAnsiTheme="minorEastAsia" w:eastAsiaTheme="minorEastAsia" w:cstheme="minorEastAsia"/>
          <w:b w:val="0"/>
          <w:spacing w:val="-4"/>
          <w:sz w:val="24"/>
          <w:szCs w:val="24"/>
        </w:rPr>
        <w:t>六、项目评价工作情况</w:t>
      </w:r>
    </w:p>
    <w:p>
      <w:pPr>
        <w:adjustRightInd w:val="0"/>
        <w:snapToGrid w:val="0"/>
        <w:spacing w:line="360" w:lineRule="auto"/>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本次评价通过文件研读、实地调研、数据分析等方式，全面了解塔什库尔干县草地资源，项目管理过程规范，按期完成预期绩效目标等。同时，通过开展自我评价来总结经验和教训，为今后的开展提供参考建议。</w:t>
      </w:r>
    </w:p>
    <w:p>
      <w:pPr>
        <w:adjustRightInd w:val="0"/>
        <w:snapToGrid w:val="0"/>
        <w:spacing w:line="360" w:lineRule="auto"/>
        <w:ind w:firstLine="464" w:firstLineChars="200"/>
        <w:outlineLvl w:val="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七、附表</w:t>
      </w:r>
    </w:p>
    <w:p>
      <w:pPr>
        <w:adjustRightInd w:val="0"/>
        <w:snapToGrid w:val="0"/>
        <w:spacing w:line="360" w:lineRule="auto"/>
        <w:ind w:firstLine="464" w:firstLineChars="200"/>
        <w:rPr>
          <w:rStyle w:val="20"/>
          <w:rFonts w:hint="eastAsia" w:asciiTheme="minorEastAsia" w:hAnsiTheme="minorEastAsia" w:eastAsiaTheme="minorEastAsia" w:cstheme="minorEastAsia"/>
          <w:b w:val="0"/>
          <w:spacing w:val="-4"/>
          <w:sz w:val="24"/>
          <w:szCs w:val="24"/>
        </w:rPr>
      </w:pPr>
      <w:r>
        <w:rPr>
          <w:rStyle w:val="20"/>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360" w:lineRule="auto"/>
        <w:ind w:firstLine="466" w:firstLineChars="200"/>
        <w:rPr>
          <w:rStyle w:val="20"/>
          <w:rFonts w:hint="eastAsia" w:asciiTheme="minorEastAsia" w:hAnsiTheme="minorEastAsia" w:eastAsiaTheme="minorEastAsia" w:cstheme="minorEastAsia"/>
          <w:color w:val="FF0000"/>
          <w:spacing w:val="-4"/>
          <w:sz w:val="24"/>
          <w:szCs w:val="24"/>
        </w:rPr>
      </w:pPr>
    </w:p>
    <w:p>
      <w:pPr>
        <w:adjustRightInd w:val="0"/>
        <w:snapToGrid w:val="0"/>
        <w:spacing w:line="360" w:lineRule="auto"/>
        <w:ind w:firstLine="466" w:firstLineChars="200"/>
        <w:jc w:val="center"/>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塔什库尔干县畜牧兽医局</w:t>
      </w:r>
    </w:p>
    <w:p>
      <w:pPr>
        <w:adjustRightInd w:val="0"/>
        <w:snapToGrid w:val="0"/>
        <w:spacing w:line="360" w:lineRule="auto"/>
        <w:ind w:firstLine="466" w:firstLineChars="200"/>
        <w:jc w:val="center"/>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2018年12月15日</w:t>
      </w:r>
    </w:p>
    <w:p>
      <w:pPr>
        <w:adjustRightInd w:val="0"/>
        <w:snapToGrid w:val="0"/>
        <w:spacing w:line="360" w:lineRule="auto"/>
        <w:ind w:firstLine="466" w:firstLineChars="200"/>
        <w:jc w:val="center"/>
        <w:rPr>
          <w:rFonts w:hint="eastAsia" w:asciiTheme="minorEastAsia" w:hAnsiTheme="minorEastAsia" w:eastAsiaTheme="minorEastAsia" w:cstheme="minorEastAsia"/>
          <w:b/>
          <w:bCs/>
          <w:spacing w:val="-4"/>
          <w:sz w:val="24"/>
          <w:szCs w:val="24"/>
        </w:rPr>
      </w:pPr>
    </w:p>
    <w:p>
      <w:pPr>
        <w:adjustRightInd w:val="0"/>
        <w:snapToGrid w:val="0"/>
        <w:spacing w:line="360" w:lineRule="auto"/>
        <w:jc w:val="both"/>
        <w:rPr>
          <w:rFonts w:ascii="仿宋" w:hAnsi="仿宋" w:eastAsia="仿宋"/>
          <w:bCs/>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710A6"/>
    <w:rsid w:val="000F0541"/>
    <w:rsid w:val="0012208E"/>
    <w:rsid w:val="00135256"/>
    <w:rsid w:val="001A4E1F"/>
    <w:rsid w:val="001A57B9"/>
    <w:rsid w:val="001B0738"/>
    <w:rsid w:val="001C3847"/>
    <w:rsid w:val="001F3031"/>
    <w:rsid w:val="00210A26"/>
    <w:rsid w:val="002A2532"/>
    <w:rsid w:val="002A2D76"/>
    <w:rsid w:val="003241D2"/>
    <w:rsid w:val="00334D50"/>
    <w:rsid w:val="00365250"/>
    <w:rsid w:val="0036624C"/>
    <w:rsid w:val="00385849"/>
    <w:rsid w:val="003F1A98"/>
    <w:rsid w:val="00464B79"/>
    <w:rsid w:val="0050167F"/>
    <w:rsid w:val="00514506"/>
    <w:rsid w:val="005162F1"/>
    <w:rsid w:val="00516E80"/>
    <w:rsid w:val="00535153"/>
    <w:rsid w:val="00575CFE"/>
    <w:rsid w:val="00583AFC"/>
    <w:rsid w:val="00592D09"/>
    <w:rsid w:val="00675D58"/>
    <w:rsid w:val="006F2E6D"/>
    <w:rsid w:val="007218B8"/>
    <w:rsid w:val="0072547D"/>
    <w:rsid w:val="00755C6A"/>
    <w:rsid w:val="00785FDE"/>
    <w:rsid w:val="007A0351"/>
    <w:rsid w:val="007A14BC"/>
    <w:rsid w:val="007C1025"/>
    <w:rsid w:val="007E6845"/>
    <w:rsid w:val="007F5F8A"/>
    <w:rsid w:val="00806B07"/>
    <w:rsid w:val="00826CA1"/>
    <w:rsid w:val="00835B7F"/>
    <w:rsid w:val="00855E3A"/>
    <w:rsid w:val="00882985"/>
    <w:rsid w:val="00915EE1"/>
    <w:rsid w:val="00922CB9"/>
    <w:rsid w:val="009350F7"/>
    <w:rsid w:val="009428F3"/>
    <w:rsid w:val="009B526F"/>
    <w:rsid w:val="009C1AFD"/>
    <w:rsid w:val="009D4BFB"/>
    <w:rsid w:val="00A26421"/>
    <w:rsid w:val="00A4293B"/>
    <w:rsid w:val="00A83BD5"/>
    <w:rsid w:val="00A977DF"/>
    <w:rsid w:val="00AE6A23"/>
    <w:rsid w:val="00B06CA5"/>
    <w:rsid w:val="00B13FCF"/>
    <w:rsid w:val="00B41F61"/>
    <w:rsid w:val="00B55332"/>
    <w:rsid w:val="00B567B1"/>
    <w:rsid w:val="00B86E8C"/>
    <w:rsid w:val="00BE1A00"/>
    <w:rsid w:val="00C22CF0"/>
    <w:rsid w:val="00C56C72"/>
    <w:rsid w:val="00C930FD"/>
    <w:rsid w:val="00CA6457"/>
    <w:rsid w:val="00CC4442"/>
    <w:rsid w:val="00CC6E4D"/>
    <w:rsid w:val="00D17F2E"/>
    <w:rsid w:val="00D46194"/>
    <w:rsid w:val="00D54C6B"/>
    <w:rsid w:val="00E01293"/>
    <w:rsid w:val="00E027D1"/>
    <w:rsid w:val="00E53E66"/>
    <w:rsid w:val="00E769FE"/>
    <w:rsid w:val="00EA2CBE"/>
    <w:rsid w:val="00EA38D2"/>
    <w:rsid w:val="00EE6944"/>
    <w:rsid w:val="00EF3FFA"/>
    <w:rsid w:val="00EF72E2"/>
    <w:rsid w:val="00F32FEE"/>
    <w:rsid w:val="00F53E69"/>
    <w:rsid w:val="09EA2A89"/>
    <w:rsid w:val="17787804"/>
    <w:rsid w:val="1ECE29F1"/>
    <w:rsid w:val="28431458"/>
    <w:rsid w:val="2DA71146"/>
    <w:rsid w:val="397F4FE8"/>
    <w:rsid w:val="527A4675"/>
    <w:rsid w:val="64B8290E"/>
    <w:rsid w:val="6C69205B"/>
    <w:rsid w:val="74CF3ECB"/>
    <w:rsid w:val="7A4C78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0"/>
    <w:unhideWhenUsed/>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日期 Char"/>
    <w:basedOn w:val="19"/>
    <w:link w:val="12"/>
    <w:semiHidden/>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7</Pages>
  <Words>370</Words>
  <Characters>2113</Characters>
  <Lines>17</Lines>
  <Paragraphs>4</Paragraphs>
  <TotalTime>0</TotalTime>
  <ScaleCrop>false</ScaleCrop>
  <LinksUpToDate>false</LinksUpToDate>
  <CharactersWithSpaces>2479</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2019-09-19T16:31:17Z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